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7C" w:rsidRPr="00B54668" w:rsidRDefault="00412A7C" w:rsidP="00412A7C">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412A7C" w:rsidRPr="00B54668" w:rsidTr="00A5042B">
        <w:trPr>
          <w:trHeight w:val="926"/>
        </w:trPr>
        <w:tc>
          <w:tcPr>
            <w:tcW w:w="225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center"/>
              <w:rPr>
                <w:rFonts w:ascii="Candara" w:hAnsi="Candara"/>
                <w:b/>
                <w:sz w:val="36"/>
                <w:szCs w:val="36"/>
              </w:rPr>
            </w:pPr>
            <w:r w:rsidRPr="00A5042B">
              <w:rPr>
                <w:rFonts w:ascii="Candara" w:hAnsi="Candara"/>
                <w:b/>
                <w:sz w:val="36"/>
                <w:szCs w:val="36"/>
              </w:rPr>
              <w:t>Course unit</w:t>
            </w:r>
          </w:p>
          <w:p w:rsidR="00412A7C" w:rsidRPr="00A5042B" w:rsidRDefault="00412A7C" w:rsidP="00A5042B">
            <w:pPr>
              <w:spacing w:line="240" w:lineRule="auto"/>
              <w:contextualSpacing/>
              <w:jc w:val="center"/>
              <w:rPr>
                <w:rFonts w:ascii="Candara" w:hAnsi="Candara"/>
                <w:b/>
                <w:sz w:val="32"/>
                <w:szCs w:val="32"/>
              </w:rPr>
            </w:pPr>
            <w:r w:rsidRPr="00A5042B">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8C043D" w:rsidP="00A5042B">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4840" cy="617220"/>
                  <wp:effectExtent l="19050" t="0" r="3810" b="0"/>
                  <wp:docPr id="1" name="Picture 0" descr="Description: 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OO.png"/>
                          <pic:cNvPicPr>
                            <a:picLocks noChangeAspect="1" noChangeArrowheads="1"/>
                          </pic:cNvPicPr>
                        </pic:nvPicPr>
                        <pic:blipFill>
                          <a:blip r:embed="rId7" cstate="print"/>
                          <a:srcRect/>
                          <a:stretch>
                            <a:fillRect/>
                          </a:stretch>
                        </pic:blipFill>
                        <pic:spPr bwMode="auto">
                          <a:xfrm>
                            <a:off x="0" y="0"/>
                            <a:ext cx="624840" cy="617220"/>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7669BD" w:rsidP="00A5042B">
            <w:pPr>
              <w:suppressAutoHyphens w:val="0"/>
              <w:spacing w:after="200" w:line="276" w:lineRule="auto"/>
              <w:jc w:val="left"/>
              <w:rPr>
                <w:rFonts w:ascii="Candara" w:hAnsi="Candara"/>
              </w:rPr>
            </w:pPr>
            <w:r w:rsidRPr="00A5042B">
              <w:rPr>
                <w:rFonts w:ascii="Candara" w:hAnsi="Candara"/>
                <w:noProof/>
                <w:lang w:val="en-US" w:eastAsia="zh-TW"/>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57728;mso-position-horizontal-relative:text;mso-position-vertical-relative:text;mso-width-relative:margin;mso-height-relative:margin" stroked="f">
                  <v:textbox style="mso-next-textbox:#_x0000_s1026">
                    <w:txbxContent>
                      <w:p w:rsidR="00412A7C" w:rsidRDefault="008C043D" w:rsidP="00412A7C">
                        <w:r>
                          <w:rPr>
                            <w:noProof/>
                            <w:lang w:val="sr-Latn-CS" w:eastAsia="sr-Latn-CS"/>
                          </w:rPr>
                          <w:drawing>
                            <wp:inline distT="0" distB="0" distL="0" distR="0">
                              <wp:extent cx="3002280" cy="525780"/>
                              <wp:effectExtent l="19050" t="0" r="7620" b="0"/>
                              <wp:docPr id="2" name="Picture 0" descr="Description: 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NS.png"/>
                                      <pic:cNvPicPr>
                                        <a:picLocks noChangeAspect="1" noChangeArrowheads="1"/>
                                      </pic:cNvPicPr>
                                    </pic:nvPicPr>
                                    <pic:blipFill>
                                      <a:blip r:embed="rId8"/>
                                      <a:srcRect/>
                                      <a:stretch>
                                        <a:fillRect/>
                                      </a:stretch>
                                    </pic:blipFill>
                                    <pic:spPr bwMode="auto">
                                      <a:xfrm>
                                        <a:off x="0" y="0"/>
                                        <a:ext cx="3002280" cy="525780"/>
                                      </a:xfrm>
                                      <a:prstGeom prst="rect">
                                        <a:avLst/>
                                      </a:prstGeom>
                                      <a:noFill/>
                                      <a:ln w="9525">
                                        <a:noFill/>
                                        <a:miter lim="800000"/>
                                        <a:headEnd/>
                                        <a:tailEnd/>
                                      </a:ln>
                                    </pic:spPr>
                                  </pic:pic>
                                </a:graphicData>
                              </a:graphic>
                            </wp:inline>
                          </w:drawing>
                        </w:r>
                      </w:p>
                    </w:txbxContent>
                  </v:textbox>
                </v:shape>
              </w:pict>
            </w:r>
          </w:p>
          <w:p w:rsidR="00412A7C" w:rsidRPr="00A5042B" w:rsidRDefault="00412A7C" w:rsidP="00A5042B">
            <w:pPr>
              <w:jc w:val="left"/>
              <w:rPr>
                <w:rFonts w:ascii="Candara" w:hAnsi="Candara"/>
              </w:rPr>
            </w:pPr>
          </w:p>
        </w:tc>
      </w:tr>
      <w:tr w:rsidR="00412A7C" w:rsidRPr="00B54668" w:rsidTr="00A5042B">
        <w:trPr>
          <w:trHeight w:val="754"/>
        </w:trPr>
        <w:tc>
          <w:tcPr>
            <w:tcW w:w="2250"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center"/>
              <w:rPr>
                <w:rFonts w:ascii="Candara" w:hAnsi="Candara"/>
                <w:noProof/>
                <w:lang w:val="en-US" w:eastAsia="zh-TW"/>
              </w:rPr>
            </w:pPr>
            <w:r w:rsidRPr="00A5042B">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uppressAutoHyphens w:val="0"/>
              <w:spacing w:after="200" w:line="276" w:lineRule="auto"/>
              <w:jc w:val="left"/>
              <w:rPr>
                <w:rFonts w:ascii="Candara" w:hAnsi="Candara"/>
              </w:rPr>
            </w:pPr>
          </w:p>
        </w:tc>
      </w:tr>
      <w:tr w:rsidR="00412A7C" w:rsidRPr="00B54668" w:rsidTr="00A5042B">
        <w:trPr>
          <w:trHeight w:val="529"/>
        </w:trPr>
        <w:tc>
          <w:tcPr>
            <w:tcW w:w="10440" w:type="dxa"/>
            <w:gridSpan w:val="4"/>
            <w:tcBorders>
              <w:top w:val="double" w:sz="4" w:space="0" w:color="auto"/>
              <w:bottom w:val="single" w:sz="4" w:space="0" w:color="auto"/>
            </w:tcBorders>
            <w:shd w:val="clear" w:color="auto" w:fill="B8CCE4"/>
            <w:vAlign w:val="center"/>
          </w:tcPr>
          <w:p w:rsidR="00412A7C" w:rsidRPr="00A5042B" w:rsidRDefault="00412A7C" w:rsidP="00A5042B">
            <w:pPr>
              <w:spacing w:line="240" w:lineRule="auto"/>
              <w:contextualSpacing/>
              <w:rPr>
                <w:rFonts w:ascii="Candara" w:hAnsi="Candara"/>
                <w:b/>
              </w:rPr>
            </w:pPr>
            <w:r w:rsidRPr="00A5042B">
              <w:rPr>
                <w:rFonts w:ascii="Candara" w:hAnsi="Candara"/>
                <w:b/>
              </w:rPr>
              <w:t>GENERAL INFORMATION</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Study program in which the course unit is offered</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b/>
                <w:color w:val="548DD4"/>
              </w:rPr>
            </w:pPr>
            <w:r w:rsidRPr="00A5042B">
              <w:rPr>
                <w:rFonts w:ascii="Candara" w:hAnsi="Candara"/>
                <w:lang w:val="de-DE"/>
              </w:rPr>
              <w:t>Deutsche Sprache und Literatur</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title</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lang w:val="de-DE"/>
              </w:rPr>
              <w:t xml:space="preserve">Deutsche Sprache </w:t>
            </w:r>
            <w:r w:rsidR="00E84A72" w:rsidRPr="00A5042B">
              <w:rPr>
                <w:rFonts w:ascii="Candara" w:hAnsi="Candara"/>
                <w:b/>
                <w:lang w:val="de-DE"/>
              </w:rPr>
              <w:t>–</w:t>
            </w:r>
            <w:r w:rsidRPr="00A5042B">
              <w:rPr>
                <w:rFonts w:ascii="Candara" w:hAnsi="Candara"/>
                <w:b/>
                <w:lang w:val="de-DE"/>
              </w:rPr>
              <w:t xml:space="preserve"> Syntax 1</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code</w:t>
            </w:r>
          </w:p>
        </w:tc>
        <w:tc>
          <w:tcPr>
            <w:tcW w:w="5760" w:type="dxa"/>
            <w:gridSpan w:val="2"/>
            <w:shd w:val="clear" w:color="auto" w:fill="auto"/>
            <w:vAlign w:val="center"/>
          </w:tcPr>
          <w:p w:rsidR="00993574" w:rsidRPr="00A5042B" w:rsidRDefault="00993574" w:rsidP="00993574">
            <w:pPr>
              <w:spacing w:line="240" w:lineRule="auto"/>
              <w:contextualSpacing/>
              <w:jc w:val="left"/>
              <w:rPr>
                <w:rFonts w:ascii="Candara" w:hAnsi="Candara"/>
              </w:rPr>
            </w:pPr>
            <w:r w:rsidRPr="004D717D">
              <w:rPr>
                <w:rFonts w:ascii="Candara" w:hAnsi="Candara"/>
                <w:lang w:val="de-DE"/>
              </w:rPr>
              <w:t>NJ012</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Type of course unit</w:t>
            </w:r>
            <w:r w:rsidRPr="00A5042B">
              <w:rPr>
                <w:rStyle w:val="FootnoteReference"/>
                <w:rFonts w:ascii="Candara" w:hAnsi="Candara"/>
              </w:rPr>
              <w:footnoteReference w:id="1"/>
            </w:r>
            <w:r w:rsidRPr="00A5042B">
              <w:rPr>
                <w:rFonts w:ascii="Candara" w:hAnsi="Candara"/>
              </w:rPr>
              <w:t xml:space="preserve"> </w:t>
            </w:r>
          </w:p>
        </w:tc>
        <w:tc>
          <w:tcPr>
            <w:tcW w:w="5760" w:type="dxa"/>
            <w:gridSpan w:val="2"/>
            <w:shd w:val="clear" w:color="auto" w:fill="auto"/>
            <w:vAlign w:val="center"/>
          </w:tcPr>
          <w:p w:rsidR="00412A7C" w:rsidRPr="00A5042B" w:rsidRDefault="00412A7C" w:rsidP="0029467E">
            <w:pPr>
              <w:spacing w:line="240" w:lineRule="auto"/>
              <w:contextualSpacing/>
              <w:jc w:val="left"/>
              <w:rPr>
                <w:rFonts w:ascii="Candara" w:hAnsi="Candara"/>
                <w:lang w:val="de-DE"/>
              </w:rPr>
            </w:pPr>
            <w:r w:rsidRPr="00A5042B">
              <w:rPr>
                <w:rFonts w:ascii="Candara" w:hAnsi="Candara"/>
                <w:lang w:val="de-DE"/>
              </w:rPr>
              <w:t>Pflichtfach (Compuls</w:t>
            </w:r>
            <w:r w:rsidR="0029467E">
              <w:rPr>
                <w:rFonts w:ascii="Candara" w:hAnsi="Candara"/>
                <w:lang w:val="de-DE"/>
              </w:rPr>
              <w:t>o</w:t>
            </w:r>
            <w:r w:rsidRPr="00A5042B">
              <w:rPr>
                <w:rFonts w:ascii="Candara" w:hAnsi="Candara"/>
                <w:lang w:val="de-DE"/>
              </w:rPr>
              <w:t>ry)</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Level of course unit</w:t>
            </w:r>
            <w:r w:rsidRPr="00A5042B">
              <w:rPr>
                <w:rStyle w:val="FootnoteReference"/>
                <w:rFonts w:ascii="Candara" w:hAnsi="Candara"/>
              </w:rPr>
              <w:footnoteReference w:id="2"/>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lang w:val="de-DE"/>
              </w:rPr>
              <w:t>Akademisches Grundstudium (Bachelor)</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Field of Study (please see ISCED</w:t>
            </w:r>
            <w:r w:rsidRPr="00A5042B">
              <w:rPr>
                <w:rStyle w:val="FootnoteReference"/>
                <w:rFonts w:ascii="Candara" w:hAnsi="Candara"/>
              </w:rPr>
              <w:footnoteReference w:id="3"/>
            </w:r>
            <w:r w:rsidRPr="00A5042B">
              <w:rPr>
                <w:rFonts w:ascii="Candara" w:hAnsi="Candara"/>
              </w:rPr>
              <w:t>)</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0232 Literatur und Sprachwissenschaft</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uppressAutoHyphens w:val="0"/>
              <w:spacing w:after="0" w:line="240" w:lineRule="auto"/>
              <w:contextualSpacing/>
              <w:jc w:val="left"/>
              <w:rPr>
                <w:rFonts w:ascii="Candara" w:hAnsi="Candara" w:cs="Arial"/>
                <w:lang w:val="en-US"/>
              </w:rPr>
            </w:pPr>
            <w:r w:rsidRPr="00A5042B">
              <w:rPr>
                <w:rFonts w:ascii="Candara" w:hAnsi="Candara"/>
              </w:rPr>
              <w:t>Semester when the course unit is offered</w:t>
            </w:r>
          </w:p>
        </w:tc>
        <w:tc>
          <w:tcPr>
            <w:tcW w:w="5760" w:type="dxa"/>
            <w:gridSpan w:val="2"/>
            <w:shd w:val="clear" w:color="auto" w:fill="auto"/>
            <w:vAlign w:val="center"/>
          </w:tcPr>
          <w:p w:rsidR="00412A7C" w:rsidRPr="00A5042B" w:rsidRDefault="00412A7C" w:rsidP="00A5042B">
            <w:pPr>
              <w:suppressAutoHyphens w:val="0"/>
              <w:spacing w:after="0" w:line="240" w:lineRule="auto"/>
              <w:contextualSpacing/>
              <w:jc w:val="left"/>
              <w:rPr>
                <w:rFonts w:ascii="Candara" w:hAnsi="Candara" w:cs="Arial"/>
                <w:lang w:val="en-US"/>
              </w:rPr>
            </w:pPr>
            <w:r w:rsidRPr="00A5042B">
              <w:rPr>
                <w:rFonts w:ascii="Candara" w:hAnsi="Candara" w:cs="Arial"/>
                <w:lang w:val="en-US"/>
              </w:rPr>
              <w:t>Wintersemester</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Year of study (if applicable)</w:t>
            </w:r>
          </w:p>
        </w:tc>
        <w:tc>
          <w:tcPr>
            <w:tcW w:w="576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2. Studienjahr</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Number of ECTS allocated</w:t>
            </w:r>
          </w:p>
        </w:tc>
        <w:tc>
          <w:tcPr>
            <w:tcW w:w="576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9</w:t>
            </w:r>
          </w:p>
        </w:tc>
      </w:tr>
      <w:tr w:rsidR="00412A7C" w:rsidRPr="00412A7C"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Name of lecturer/lecturers</w:t>
            </w:r>
          </w:p>
        </w:tc>
        <w:tc>
          <w:tcPr>
            <w:tcW w:w="5760" w:type="dxa"/>
            <w:gridSpan w:val="2"/>
            <w:tcBorders>
              <w:bottom w:val="single" w:sz="4" w:space="0" w:color="auto"/>
            </w:tcBorders>
            <w:shd w:val="clear" w:color="auto" w:fill="auto"/>
            <w:vAlign w:val="center"/>
          </w:tcPr>
          <w:p w:rsidR="00412A7C" w:rsidRPr="003F3CF6" w:rsidRDefault="002749C4" w:rsidP="00CA0E35">
            <w:pPr>
              <w:spacing w:line="240" w:lineRule="auto"/>
              <w:contextualSpacing/>
              <w:jc w:val="left"/>
              <w:rPr>
                <w:rFonts w:ascii="Candara" w:hAnsi="Candara"/>
                <w:lang/>
              </w:rPr>
            </w:pPr>
            <w:r>
              <w:rPr>
                <w:rFonts w:ascii="Candara" w:hAnsi="Candara"/>
              </w:rPr>
              <w:t>Dr</w:t>
            </w:r>
            <w:r w:rsidRPr="00A5042B">
              <w:rPr>
                <w:rFonts w:ascii="Candara" w:hAnsi="Candara"/>
              </w:rPr>
              <w:t xml:space="preserve"> </w:t>
            </w:r>
            <w:r w:rsidR="00412A7C" w:rsidRPr="00A5042B">
              <w:rPr>
                <w:rFonts w:ascii="Candara" w:hAnsi="Candara"/>
              </w:rPr>
              <w:t>Sanja Ninković</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Name of contact person</w:t>
            </w:r>
          </w:p>
        </w:tc>
        <w:tc>
          <w:tcPr>
            <w:tcW w:w="5760" w:type="dxa"/>
            <w:gridSpan w:val="2"/>
            <w:tcBorders>
              <w:bottom w:val="single" w:sz="4" w:space="0" w:color="auto"/>
            </w:tcBorders>
            <w:shd w:val="clear" w:color="auto" w:fill="auto"/>
            <w:vAlign w:val="center"/>
          </w:tcPr>
          <w:p w:rsidR="00412A7C" w:rsidRPr="00A5042B" w:rsidRDefault="002749C4" w:rsidP="00A5042B">
            <w:pPr>
              <w:spacing w:line="240" w:lineRule="auto"/>
              <w:contextualSpacing/>
              <w:jc w:val="left"/>
              <w:rPr>
                <w:rFonts w:ascii="Candara" w:hAnsi="Candara"/>
              </w:rPr>
            </w:pPr>
            <w:r>
              <w:rPr>
                <w:rFonts w:ascii="Candara" w:hAnsi="Candara"/>
              </w:rPr>
              <w:t>Dr</w:t>
            </w:r>
            <w:r w:rsidRPr="00A5042B">
              <w:rPr>
                <w:rFonts w:ascii="Candara" w:hAnsi="Candara"/>
              </w:rPr>
              <w:t xml:space="preserve"> </w:t>
            </w:r>
            <w:r w:rsidR="00412A7C" w:rsidRPr="00A5042B">
              <w:rPr>
                <w:rFonts w:ascii="Candara" w:hAnsi="Candara"/>
              </w:rPr>
              <w:t>Sanja Ninković</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Mode of course unit delivery</w:t>
            </w:r>
            <w:r w:rsidRPr="00A5042B">
              <w:rPr>
                <w:rStyle w:val="FootnoteReference"/>
                <w:rFonts w:ascii="Candara" w:hAnsi="Candara"/>
              </w:rPr>
              <w:footnoteReference w:id="4"/>
            </w:r>
          </w:p>
        </w:tc>
        <w:tc>
          <w:tcPr>
            <w:tcW w:w="576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Face-to-face</w:t>
            </w:r>
          </w:p>
        </w:tc>
      </w:tr>
      <w:tr w:rsidR="00412A7C" w:rsidRPr="00A5042B"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pre-requisites (e.g. level of language required, etc)</w:t>
            </w:r>
          </w:p>
        </w:tc>
        <w:tc>
          <w:tcPr>
            <w:tcW w:w="5760" w:type="dxa"/>
            <w:gridSpan w:val="2"/>
            <w:tcBorders>
              <w:bottom w:val="single" w:sz="4" w:space="0" w:color="auto"/>
            </w:tcBorders>
            <w:shd w:val="clear" w:color="auto" w:fill="auto"/>
            <w:vAlign w:val="center"/>
          </w:tcPr>
          <w:p w:rsidR="00E84A72" w:rsidRPr="00A5042B" w:rsidRDefault="00E84A72" w:rsidP="00A5042B">
            <w:pPr>
              <w:spacing w:line="240" w:lineRule="auto"/>
              <w:contextualSpacing/>
              <w:rPr>
                <w:rFonts w:ascii="Candara" w:hAnsi="Candara"/>
                <w:lang w:val="de-DE"/>
              </w:rPr>
            </w:pPr>
            <w:r w:rsidRPr="00A5042B">
              <w:rPr>
                <w:rFonts w:ascii="Candara" w:hAnsi="Candara"/>
                <w:lang w:val="de-DE"/>
              </w:rPr>
              <w:t>Deutsche Sprache – Morphologie 1</w:t>
            </w:r>
          </w:p>
          <w:p w:rsidR="00412A7C" w:rsidRPr="00A5042B" w:rsidRDefault="00E84A72" w:rsidP="00A5042B">
            <w:pPr>
              <w:spacing w:line="240" w:lineRule="auto"/>
              <w:contextualSpacing/>
              <w:rPr>
                <w:rFonts w:ascii="Candara" w:hAnsi="Candara"/>
                <w:lang w:val="de-DE"/>
              </w:rPr>
            </w:pPr>
            <w:r w:rsidRPr="00A5042B">
              <w:rPr>
                <w:rFonts w:ascii="Candara" w:hAnsi="Candara"/>
                <w:lang w:val="de-DE"/>
              </w:rPr>
              <w:t>Deutsche Sprache – Morphologie 2</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rPr>
              <w:t>PURPOSE AND OVERVIEW (max 5-10 sentences)</w:t>
            </w:r>
          </w:p>
        </w:tc>
      </w:tr>
      <w:tr w:rsidR="00412A7C" w:rsidRPr="00A5042B" w:rsidTr="00A5042B">
        <w:trPr>
          <w:trHeight w:val="562"/>
        </w:trPr>
        <w:tc>
          <w:tcPr>
            <w:tcW w:w="10440" w:type="dxa"/>
            <w:gridSpan w:val="4"/>
            <w:shd w:val="clear" w:color="auto" w:fill="auto"/>
            <w:vAlign w:val="center"/>
          </w:tcPr>
          <w:p w:rsidR="00A5042B" w:rsidRPr="00A5042B" w:rsidRDefault="00A5042B" w:rsidP="00A5042B">
            <w:pPr>
              <w:spacing w:line="240" w:lineRule="auto"/>
              <w:contextualSpacing/>
              <w:rPr>
                <w:rFonts w:ascii="Candara" w:hAnsi="Candara"/>
                <w:lang w:val="de-DE"/>
              </w:rPr>
            </w:pPr>
            <w:r w:rsidRPr="00A5042B">
              <w:rPr>
                <w:rFonts w:ascii="Candara" w:hAnsi="Candara"/>
                <w:lang w:val="de-DE"/>
              </w:rPr>
              <w:t>Erlangung von Kenntnissen über die Syntax als wissenschaftliche Disziplin, ihren Gegenstand im Rahmen der Forschung und über die wichtigsten Begriffe. Vertrautmachung mit dem deutschen Satz und seinen Merkmalen sowie mit Satzgliedern, ihren Teilen und dem Verhältnis, in dem sie zueinander stehen. Erwerb von Kompetenzen für den praktischen Gebrauch der deutschen Sprache.</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rPr>
              <w:lastRenderedPageBreak/>
              <w:t>LEARNING OUTCOMES (knowledge and skills)</w:t>
            </w:r>
          </w:p>
        </w:tc>
      </w:tr>
      <w:tr w:rsidR="00412A7C" w:rsidRPr="00A5042B" w:rsidTr="00A5042B">
        <w:trPr>
          <w:trHeight w:val="562"/>
        </w:trPr>
        <w:tc>
          <w:tcPr>
            <w:tcW w:w="10440" w:type="dxa"/>
            <w:gridSpan w:val="4"/>
            <w:shd w:val="clear" w:color="auto" w:fill="auto"/>
            <w:vAlign w:val="center"/>
          </w:tcPr>
          <w:p w:rsidR="00A5042B" w:rsidRPr="00A5042B" w:rsidRDefault="00A5042B" w:rsidP="00A5042B">
            <w:pPr>
              <w:widowControl w:val="0"/>
              <w:suppressAutoHyphens w:val="0"/>
              <w:autoSpaceDE w:val="0"/>
              <w:autoSpaceDN w:val="0"/>
              <w:adjustRightInd w:val="0"/>
              <w:spacing w:after="0" w:line="240" w:lineRule="auto"/>
              <w:rPr>
                <w:rFonts w:ascii="Candara" w:hAnsi="Candara"/>
                <w:lang w:val="de-DE" w:eastAsia="sr-Latn-CS"/>
              </w:rPr>
            </w:pPr>
            <w:r w:rsidRPr="00A5042B">
              <w:rPr>
                <w:rFonts w:ascii="Candara" w:hAnsi="Candara"/>
                <w:lang w:val="de-DE" w:eastAsia="sr-Latn-CS"/>
              </w:rPr>
              <w:t>Studenten verfügen über grundlegende theoretische und praktische Kenntnisse über die Syntax als Wissenschaft und ihren Forschungsgegenstand. Sie kennen die wichtigsten Begriffe der Syntax, den deutschen Satz und seine Charakteristiken sowie Satzglieder und die Regeln für ihre Kombinierung.</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b/>
              </w:rPr>
              <w:t>SYLLABUS (outline and summary of topics)</w:t>
            </w:r>
          </w:p>
        </w:tc>
      </w:tr>
      <w:tr w:rsidR="00412A7C" w:rsidRPr="00A5042B" w:rsidTr="00A5042B">
        <w:trPr>
          <w:trHeight w:val="562"/>
        </w:trPr>
        <w:tc>
          <w:tcPr>
            <w:tcW w:w="10440" w:type="dxa"/>
            <w:gridSpan w:val="4"/>
            <w:shd w:val="clear" w:color="auto" w:fill="auto"/>
            <w:vAlign w:val="center"/>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Theoretischer Unterricht:</w:t>
            </w:r>
          </w:p>
          <w:p w:rsidR="00F7008F" w:rsidRDefault="00A5042B" w:rsidP="00A5042B">
            <w:pPr>
              <w:spacing w:after="0" w:line="240" w:lineRule="auto"/>
              <w:rPr>
                <w:rFonts w:ascii="Candara" w:hAnsi="Candara"/>
                <w:szCs w:val="22"/>
                <w:lang w:val="de-DE"/>
              </w:rPr>
            </w:pPr>
            <w:r w:rsidRPr="00A5042B">
              <w:rPr>
                <w:rFonts w:ascii="Candara" w:hAnsi="Candara"/>
                <w:szCs w:val="22"/>
                <w:lang w:val="de-DE"/>
              </w:rPr>
              <w:t>Syntax als Wissenschaft und Gegenstand ihrer Forschung. Hauptbegriffe der Syntax. Satz und seine Charakteristiken. Elipse. Linguistische Operationen zwecks Bestimmung der Satzglieder. Prädikat, Subjekt, Objekt, adverbiale Ergänzungen und Angaben sowie ihre semantische Einteilung. Attribut und Apposition.</w:t>
            </w:r>
          </w:p>
          <w:p w:rsidR="00DA4DBA" w:rsidRPr="00A5042B" w:rsidRDefault="00DA4DBA" w:rsidP="00A5042B">
            <w:pPr>
              <w:spacing w:after="0" w:line="240" w:lineRule="auto"/>
              <w:rPr>
                <w:rFonts w:ascii="Candara" w:hAnsi="Candara"/>
                <w:szCs w:val="22"/>
                <w:lang w:val="de-DE"/>
              </w:rPr>
            </w:pPr>
          </w:p>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Praktischer Unterricht:</w:t>
            </w:r>
          </w:p>
          <w:p w:rsidR="00A5042B" w:rsidRPr="00A5042B" w:rsidRDefault="00A5042B" w:rsidP="00A5042B">
            <w:pPr>
              <w:tabs>
                <w:tab w:val="left" w:pos="360"/>
              </w:tabs>
              <w:spacing w:after="0" w:line="240" w:lineRule="auto"/>
              <w:rPr>
                <w:rFonts w:ascii="Candara" w:hAnsi="Candara"/>
                <w:lang w:val="de-DE"/>
              </w:rPr>
            </w:pPr>
            <w:r w:rsidRPr="00A5042B">
              <w:rPr>
                <w:rFonts w:ascii="Candara" w:hAnsi="Candara"/>
                <w:lang w:val="de-DE"/>
              </w:rPr>
              <w:t>Einübung der genannten sprachlichen Phänomene und Strukturen.</w:t>
            </w:r>
          </w:p>
          <w:p w:rsidR="00412A7C" w:rsidRPr="00A5042B" w:rsidRDefault="00A5042B" w:rsidP="00A5042B">
            <w:pPr>
              <w:tabs>
                <w:tab w:val="left" w:pos="360"/>
              </w:tabs>
              <w:spacing w:after="0" w:line="240" w:lineRule="auto"/>
              <w:rPr>
                <w:rFonts w:ascii="Candara" w:hAnsi="Candara"/>
                <w:b/>
                <w:lang w:val="de-DE"/>
              </w:rPr>
            </w:pPr>
            <w:r w:rsidRPr="00A5042B">
              <w:rPr>
                <w:rFonts w:ascii="Candara" w:hAnsi="Candara"/>
                <w:lang w:val="de-DE"/>
              </w:rPr>
              <w:t>Mündliche und schriftliche Bearbeitung authentischer Texte aus dem deutschsprachigen Raum, Textverständnis, Nacherzählen, Analyse komplexer Texte, Übersetzen von Textteilen aus dem Deutschen und ins Deutsche, Diskussionen zu bestimmten Themen, Wortschatzerweiterung zu vorgegebenen Themen</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after="0" w:line="240" w:lineRule="auto"/>
              <w:contextualSpacing/>
              <w:jc w:val="left"/>
              <w:rPr>
                <w:rFonts w:ascii="Candara" w:hAnsi="Candara"/>
              </w:rPr>
            </w:pPr>
            <w:r w:rsidRPr="00A5042B">
              <w:rPr>
                <w:rFonts w:ascii="Candara" w:hAnsi="Candara"/>
                <w:b/>
              </w:rPr>
              <w:t>LEARNING AND TEACHING (</w:t>
            </w:r>
            <w:r w:rsidRPr="00A5042B">
              <w:rPr>
                <w:rFonts w:ascii="Candara" w:hAnsi="Candara"/>
              </w:rPr>
              <w:t xml:space="preserve">planned learning activities and teaching methods) </w:t>
            </w:r>
          </w:p>
        </w:tc>
      </w:tr>
      <w:tr w:rsidR="00412A7C" w:rsidRPr="00A5042B" w:rsidTr="00A5042B">
        <w:trPr>
          <w:trHeight w:val="562"/>
        </w:trPr>
        <w:tc>
          <w:tcPr>
            <w:tcW w:w="10440" w:type="dxa"/>
            <w:gridSpan w:val="4"/>
            <w:shd w:val="clear" w:color="auto" w:fill="auto"/>
            <w:vAlign w:val="center"/>
          </w:tcPr>
          <w:p w:rsidR="00412A7C" w:rsidRPr="00A5042B" w:rsidRDefault="00A5042B" w:rsidP="00A5042B">
            <w:pPr>
              <w:spacing w:after="0" w:line="240" w:lineRule="auto"/>
              <w:contextualSpacing/>
              <w:rPr>
                <w:rFonts w:ascii="Candara" w:hAnsi="Candara"/>
                <w:b/>
                <w:lang w:val="de-DE"/>
              </w:rPr>
            </w:pPr>
            <w:r w:rsidRPr="00A5042B">
              <w:rPr>
                <w:rFonts w:ascii="Candara" w:hAnsi="Candara"/>
                <w:lang w:val="de-DE"/>
              </w:rPr>
              <w:t>Vorlesungen, individuelle Arbeit, Paar- und Gruppenarbeit, Übungen, Textbearbeitung und Textanalyse, Referate</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contextualSpacing/>
              <w:jc w:val="left"/>
              <w:rPr>
                <w:rFonts w:ascii="Candara" w:hAnsi="Candara"/>
                <w:b/>
              </w:rPr>
            </w:pPr>
            <w:r w:rsidRPr="00A5042B">
              <w:rPr>
                <w:rFonts w:ascii="Candara" w:hAnsi="Candara"/>
                <w:b/>
              </w:rPr>
              <w:t>REQUIRED READING</w:t>
            </w:r>
          </w:p>
        </w:tc>
      </w:tr>
      <w:tr w:rsidR="00412A7C" w:rsidRPr="00D05FD0" w:rsidTr="00A5042B">
        <w:trPr>
          <w:trHeight w:val="562"/>
        </w:trPr>
        <w:tc>
          <w:tcPr>
            <w:tcW w:w="10440" w:type="dxa"/>
            <w:gridSpan w:val="4"/>
            <w:shd w:val="clear" w:color="auto" w:fill="auto"/>
            <w:vAlign w:val="center"/>
          </w:tcPr>
          <w:p w:rsidR="00E047F8" w:rsidRPr="00A5042B" w:rsidRDefault="00E047F8" w:rsidP="00A5042B">
            <w:pPr>
              <w:pStyle w:val="ListParagraph"/>
              <w:numPr>
                <w:ilvl w:val="0"/>
                <w:numId w:val="1"/>
              </w:numPr>
              <w:spacing w:after="0" w:line="240" w:lineRule="auto"/>
              <w:ind w:left="612" w:hanging="252"/>
              <w:rPr>
                <w:rFonts w:ascii="Candara" w:hAnsi="Candara"/>
                <w:lang w:val="de-DE"/>
              </w:rPr>
            </w:pPr>
            <w:r w:rsidRPr="00A5042B">
              <w:rPr>
                <w:rFonts w:ascii="Candara" w:hAnsi="Candara"/>
                <w:lang w:val="de-DE"/>
              </w:rPr>
              <w:t xml:space="preserve">Engel, Ulrich (2009): </w:t>
            </w:r>
            <w:r w:rsidRPr="00A5042B">
              <w:rPr>
                <w:rFonts w:ascii="Candara" w:hAnsi="Candara"/>
                <w:i/>
                <w:lang w:val="de-DE"/>
              </w:rPr>
              <w:t xml:space="preserve">Syntax der deutschen Gegenwartssprache. </w:t>
            </w:r>
            <w:r w:rsidR="008D4C77" w:rsidRPr="00A5042B">
              <w:rPr>
                <w:rFonts w:ascii="Candara" w:hAnsi="Candara"/>
                <w:lang w:val="de-DE"/>
              </w:rPr>
              <w:t>Berlin</w:t>
            </w:r>
            <w:r w:rsidR="008D4C77">
              <w:rPr>
                <w:rFonts w:ascii="Candara" w:hAnsi="Candara"/>
                <w:lang w:val="de-DE"/>
              </w:rPr>
              <w:t>:</w:t>
            </w:r>
            <w:r w:rsidR="008D4C77" w:rsidRPr="00A5042B">
              <w:rPr>
                <w:rFonts w:ascii="Candara" w:hAnsi="Candara"/>
                <w:lang w:val="de-DE"/>
              </w:rPr>
              <w:t xml:space="preserve"> </w:t>
            </w:r>
            <w:r w:rsidRPr="00A5042B">
              <w:rPr>
                <w:rFonts w:ascii="Candara" w:hAnsi="Candara"/>
                <w:lang w:val="de-DE"/>
              </w:rPr>
              <w:t>Erich Schmidt Verlag.</w:t>
            </w:r>
          </w:p>
          <w:p w:rsidR="00F7008F" w:rsidRPr="00A5042B" w:rsidRDefault="00F7008F" w:rsidP="00A5042B">
            <w:pPr>
              <w:pStyle w:val="Default"/>
              <w:numPr>
                <w:ilvl w:val="0"/>
                <w:numId w:val="1"/>
              </w:numPr>
              <w:ind w:left="612" w:hanging="252"/>
              <w:jc w:val="both"/>
              <w:rPr>
                <w:rFonts w:ascii="Candara" w:hAnsi="Candara" w:cs="Times New Roman"/>
                <w:sz w:val="20"/>
                <w:szCs w:val="20"/>
              </w:rPr>
            </w:pPr>
            <w:r w:rsidRPr="00A5042B">
              <w:rPr>
                <w:rFonts w:ascii="Candara" w:hAnsi="Candara"/>
                <w:sz w:val="20"/>
                <w:szCs w:val="20"/>
              </w:rPr>
              <w:t>Helbig</w:t>
            </w:r>
            <w:r w:rsidR="005F1A16">
              <w:rPr>
                <w:rFonts w:ascii="Candara" w:hAnsi="Candara"/>
                <w:sz w:val="20"/>
                <w:szCs w:val="20"/>
              </w:rPr>
              <w:t>,</w:t>
            </w:r>
            <w:r w:rsidRPr="00A5042B">
              <w:rPr>
                <w:rFonts w:ascii="Candara" w:hAnsi="Candara"/>
                <w:sz w:val="20"/>
                <w:szCs w:val="20"/>
              </w:rPr>
              <w:t xml:space="preserve"> Gerhard /</w:t>
            </w:r>
            <w:r w:rsidR="005F1A16">
              <w:rPr>
                <w:rFonts w:ascii="Candara" w:hAnsi="Candara"/>
                <w:sz w:val="20"/>
                <w:szCs w:val="20"/>
              </w:rPr>
              <w:t xml:space="preserve"> </w:t>
            </w:r>
            <w:r w:rsidRPr="00A5042B">
              <w:rPr>
                <w:rFonts w:ascii="Candara" w:hAnsi="Candara"/>
                <w:sz w:val="20"/>
                <w:szCs w:val="20"/>
              </w:rPr>
              <w:t xml:space="preserve">Buscha, Joachim </w:t>
            </w:r>
            <w:r w:rsidR="00D05FD0">
              <w:rPr>
                <w:rFonts w:ascii="Candara" w:hAnsi="Candara"/>
                <w:sz w:val="20"/>
                <w:szCs w:val="20"/>
              </w:rPr>
              <w:t>(</w:t>
            </w:r>
            <w:r w:rsidRPr="00A5042B">
              <w:rPr>
                <w:rFonts w:ascii="Candara" w:hAnsi="Candara"/>
                <w:sz w:val="20"/>
                <w:szCs w:val="20"/>
              </w:rPr>
              <w:t>200</w:t>
            </w:r>
            <w:r w:rsidR="00F26130">
              <w:rPr>
                <w:rFonts w:ascii="Candara" w:hAnsi="Candara"/>
                <w:sz w:val="20"/>
                <w:szCs w:val="20"/>
              </w:rPr>
              <w:t>1</w:t>
            </w:r>
            <w:r w:rsidRPr="00A5042B">
              <w:rPr>
                <w:rFonts w:ascii="Candara" w:hAnsi="Candara"/>
                <w:sz w:val="20"/>
                <w:szCs w:val="20"/>
              </w:rPr>
              <w:t xml:space="preserve">): </w:t>
            </w:r>
            <w:r w:rsidRPr="00A5042B">
              <w:rPr>
                <w:rFonts w:ascii="Candara" w:hAnsi="Candara"/>
                <w:i/>
                <w:sz w:val="20"/>
                <w:szCs w:val="20"/>
              </w:rPr>
              <w:t>Deutsche Grammatik: Ein Hand</w:t>
            </w:r>
            <w:r w:rsidRPr="00A5042B">
              <w:rPr>
                <w:rFonts w:ascii="Candara" w:hAnsi="Candara"/>
                <w:i/>
                <w:sz w:val="20"/>
                <w:szCs w:val="20"/>
              </w:rPr>
              <w:softHyphen/>
              <w:t>buch für den Ausländerunterricht</w:t>
            </w:r>
            <w:r w:rsidRPr="00A5042B">
              <w:rPr>
                <w:rFonts w:ascii="Candara" w:hAnsi="Candara"/>
                <w:sz w:val="20"/>
                <w:szCs w:val="20"/>
              </w:rPr>
              <w:t xml:space="preserve">. </w:t>
            </w:r>
            <w:r w:rsidR="008D4C77" w:rsidRPr="008D4C77">
              <w:rPr>
                <w:rFonts w:ascii="Candara" w:hAnsi="Candara"/>
                <w:sz w:val="20"/>
                <w:szCs w:val="22"/>
              </w:rPr>
              <w:t>Leipzig:</w:t>
            </w:r>
            <w:r w:rsidR="008D4C77" w:rsidRPr="002A2D3F">
              <w:rPr>
                <w:rFonts w:ascii="Candara" w:hAnsi="Candara"/>
                <w:szCs w:val="22"/>
              </w:rPr>
              <w:t xml:space="preserve"> </w:t>
            </w:r>
            <w:r w:rsidRPr="00A5042B">
              <w:rPr>
                <w:rFonts w:ascii="Candara" w:hAnsi="Candara"/>
                <w:sz w:val="20"/>
                <w:szCs w:val="20"/>
              </w:rPr>
              <w:t>Langenscheidt</w:t>
            </w:r>
            <w:r w:rsidR="008041D6">
              <w:rPr>
                <w:rFonts w:ascii="Candara" w:hAnsi="Candara"/>
                <w:sz w:val="20"/>
                <w:szCs w:val="20"/>
                <w:lang/>
              </w:rPr>
              <w:t xml:space="preserve"> </w:t>
            </w:r>
            <w:r w:rsidR="008041D6" w:rsidRPr="005B3A6F">
              <w:rPr>
                <w:rFonts w:ascii="Candara" w:hAnsi="Candara"/>
                <w:sz w:val="20"/>
                <w:szCs w:val="20"/>
                <w:lang/>
              </w:rPr>
              <w:t>–</w:t>
            </w:r>
            <w:r w:rsidR="008041D6" w:rsidRPr="005B3A6F">
              <w:rPr>
                <w:rFonts w:ascii="Candara" w:hAnsi="Candara"/>
                <w:sz w:val="20"/>
                <w:szCs w:val="20"/>
              </w:rPr>
              <w:t xml:space="preserve"> </w:t>
            </w:r>
            <w:r w:rsidRPr="00A5042B">
              <w:rPr>
                <w:rFonts w:ascii="Candara" w:hAnsi="Candara"/>
                <w:sz w:val="20"/>
                <w:szCs w:val="20"/>
              </w:rPr>
              <w:t>En</w:t>
            </w:r>
            <w:r w:rsidRPr="00A5042B">
              <w:rPr>
                <w:rFonts w:ascii="Candara" w:hAnsi="Candara"/>
                <w:sz w:val="20"/>
                <w:szCs w:val="20"/>
              </w:rPr>
              <w:softHyphen/>
              <w:t>zyklopädie</w:t>
            </w:r>
            <w:r w:rsidR="005F1A16">
              <w:rPr>
                <w:rFonts w:ascii="Candara" w:hAnsi="Candara"/>
                <w:sz w:val="20"/>
                <w:szCs w:val="20"/>
              </w:rPr>
              <w:t>,</w:t>
            </w:r>
            <w:r w:rsidRPr="00A5042B">
              <w:rPr>
                <w:rFonts w:ascii="Candara" w:hAnsi="Candara"/>
                <w:sz w:val="20"/>
                <w:szCs w:val="20"/>
              </w:rPr>
              <w:t xml:space="preserve"> </w:t>
            </w:r>
            <w:r w:rsidR="0027620D" w:rsidRPr="00A5042B">
              <w:rPr>
                <w:rFonts w:ascii="Candara" w:hAnsi="Candara"/>
                <w:sz w:val="20"/>
                <w:szCs w:val="20"/>
              </w:rPr>
              <w:t>533-610.</w:t>
            </w:r>
          </w:p>
          <w:p w:rsidR="003D70D2" w:rsidRPr="00D05FD0" w:rsidRDefault="003D70D2" w:rsidP="00A5042B">
            <w:pPr>
              <w:pStyle w:val="ListParagraph"/>
              <w:numPr>
                <w:ilvl w:val="0"/>
                <w:numId w:val="1"/>
              </w:numPr>
              <w:spacing w:after="0" w:line="240" w:lineRule="auto"/>
              <w:ind w:left="612" w:hanging="252"/>
              <w:rPr>
                <w:rFonts w:ascii="Candara" w:hAnsi="Candara"/>
                <w:lang w:val="de-DE"/>
              </w:rPr>
            </w:pPr>
            <w:r w:rsidRPr="00A5042B">
              <w:rPr>
                <w:rFonts w:ascii="Candara" w:hAnsi="Candara"/>
                <w:lang w:val="de-DE"/>
              </w:rPr>
              <w:t>Pafel, Jürgen</w:t>
            </w:r>
            <w:r w:rsidR="00D05FD0">
              <w:rPr>
                <w:rFonts w:ascii="Candara" w:hAnsi="Candara"/>
                <w:lang w:val="de-DE"/>
              </w:rPr>
              <w:t xml:space="preserve"> (2011)</w:t>
            </w:r>
            <w:r w:rsidRPr="00A5042B">
              <w:rPr>
                <w:rFonts w:ascii="Candara" w:hAnsi="Candara"/>
                <w:lang w:val="de-DE"/>
              </w:rPr>
              <w:t xml:space="preserve">: </w:t>
            </w:r>
            <w:r w:rsidRPr="00A5042B">
              <w:rPr>
                <w:rFonts w:ascii="Candara" w:hAnsi="Candara"/>
                <w:i/>
                <w:lang w:val="de-DE"/>
              </w:rPr>
              <w:t>Einführung in die deutsche Syntax.</w:t>
            </w:r>
            <w:r w:rsidRPr="00A5042B">
              <w:rPr>
                <w:rFonts w:ascii="Candara" w:hAnsi="Candara"/>
                <w:lang w:val="de-DE"/>
              </w:rPr>
              <w:t xml:space="preserve"> </w:t>
            </w:r>
            <w:r w:rsidR="008D4C77" w:rsidRPr="00D05FD0">
              <w:rPr>
                <w:rFonts w:ascii="Candara" w:hAnsi="Candara"/>
                <w:lang w:val="de-DE"/>
              </w:rPr>
              <w:t>Stuttgart</w:t>
            </w:r>
            <w:r w:rsidR="008D4C77">
              <w:rPr>
                <w:rFonts w:ascii="Candara" w:hAnsi="Candara"/>
                <w:lang w:val="de-DE"/>
              </w:rPr>
              <w:t>:</w:t>
            </w:r>
            <w:r w:rsidR="008D4C77" w:rsidRPr="00D05FD0">
              <w:rPr>
                <w:rFonts w:ascii="Candara" w:hAnsi="Candara"/>
                <w:lang w:val="de-DE"/>
              </w:rPr>
              <w:t xml:space="preserve"> </w:t>
            </w:r>
            <w:r w:rsidR="008D4C77">
              <w:rPr>
                <w:rFonts w:ascii="Candara" w:hAnsi="Candara"/>
                <w:lang w:val="de-DE"/>
              </w:rPr>
              <w:t>J. B. Metzler</w:t>
            </w:r>
            <w:r w:rsidR="00D05FD0">
              <w:rPr>
                <w:rFonts w:ascii="Candara" w:hAnsi="Candara"/>
                <w:lang w:val="de-DE"/>
              </w:rPr>
              <w:t>.</w:t>
            </w:r>
          </w:p>
          <w:p w:rsidR="009B4055" w:rsidRPr="00A5042B" w:rsidRDefault="009B4055" w:rsidP="00A5042B">
            <w:pPr>
              <w:pStyle w:val="Default"/>
              <w:numPr>
                <w:ilvl w:val="0"/>
                <w:numId w:val="1"/>
              </w:numPr>
              <w:ind w:left="612" w:hanging="252"/>
              <w:jc w:val="both"/>
              <w:rPr>
                <w:rFonts w:ascii="Candara" w:hAnsi="Candara" w:cs="Times New Roman"/>
                <w:sz w:val="20"/>
                <w:szCs w:val="20"/>
              </w:rPr>
            </w:pPr>
            <w:r w:rsidRPr="00A5042B">
              <w:rPr>
                <w:rFonts w:ascii="Candara" w:hAnsi="Candara"/>
                <w:sz w:val="20"/>
                <w:szCs w:val="20"/>
              </w:rPr>
              <w:t xml:space="preserve">Hentschel, Elke / Weydt, Harald (1990): </w:t>
            </w:r>
            <w:r w:rsidRPr="00A5042B">
              <w:rPr>
                <w:rFonts w:ascii="Candara" w:hAnsi="Candara"/>
                <w:i/>
                <w:sz w:val="20"/>
                <w:szCs w:val="20"/>
              </w:rPr>
              <w:t>Handbuch der deutschen Grammatik</w:t>
            </w:r>
            <w:r w:rsidRPr="00A5042B">
              <w:rPr>
                <w:rFonts w:ascii="Candara" w:hAnsi="Candara"/>
                <w:sz w:val="20"/>
                <w:szCs w:val="20"/>
              </w:rPr>
              <w:t xml:space="preserve">. </w:t>
            </w:r>
            <w:r w:rsidR="008D4C77">
              <w:rPr>
                <w:rFonts w:ascii="Candara" w:hAnsi="Candara"/>
                <w:sz w:val="20"/>
                <w:szCs w:val="20"/>
              </w:rPr>
              <w:t>Berlin/ New York:</w:t>
            </w:r>
            <w:r w:rsidR="008D4C77" w:rsidRPr="00A5042B">
              <w:rPr>
                <w:rFonts w:ascii="Candara" w:hAnsi="Candara"/>
                <w:sz w:val="20"/>
                <w:szCs w:val="20"/>
              </w:rPr>
              <w:t xml:space="preserve"> </w:t>
            </w:r>
            <w:r w:rsidRPr="00A5042B">
              <w:rPr>
                <w:rFonts w:ascii="Candara" w:hAnsi="Candara"/>
                <w:sz w:val="20"/>
                <w:szCs w:val="20"/>
              </w:rPr>
              <w:t>Walter de Gruyter,</w:t>
            </w:r>
            <w:r w:rsidR="00966B96">
              <w:rPr>
                <w:rFonts w:ascii="Candara" w:hAnsi="Candara"/>
                <w:sz w:val="20"/>
                <w:szCs w:val="20"/>
              </w:rPr>
              <w:t xml:space="preserve"> </w:t>
            </w:r>
            <w:r w:rsidR="00B50BB7" w:rsidRPr="00A5042B">
              <w:rPr>
                <w:rFonts w:ascii="Candara" w:hAnsi="Candara"/>
                <w:sz w:val="20"/>
                <w:szCs w:val="20"/>
              </w:rPr>
              <w:t>302-366.</w:t>
            </w:r>
          </w:p>
          <w:p w:rsidR="00412A7C" w:rsidRPr="00A5042B" w:rsidRDefault="00412A7C" w:rsidP="00A5042B">
            <w:pPr>
              <w:pStyle w:val="Default"/>
              <w:numPr>
                <w:ilvl w:val="0"/>
                <w:numId w:val="1"/>
              </w:numPr>
              <w:ind w:left="612" w:hanging="252"/>
              <w:jc w:val="both"/>
              <w:rPr>
                <w:rFonts w:ascii="Candara" w:hAnsi="Candara" w:cs="Times New Roman"/>
                <w:sz w:val="20"/>
                <w:szCs w:val="20"/>
              </w:rPr>
            </w:pPr>
            <w:r w:rsidRPr="00A5042B">
              <w:rPr>
                <w:rFonts w:ascii="Candara" w:hAnsi="Candara" w:cs="Times New Roman"/>
                <w:sz w:val="20"/>
                <w:szCs w:val="20"/>
              </w:rPr>
              <w:t>Hansen-Kokoruš, Renate u. a.</w:t>
            </w:r>
            <w:r w:rsidR="00D05FD0">
              <w:rPr>
                <w:rFonts w:ascii="Candara" w:hAnsi="Candara" w:cs="Times New Roman"/>
                <w:sz w:val="20"/>
                <w:szCs w:val="20"/>
              </w:rPr>
              <w:t xml:space="preserve"> (2005)</w:t>
            </w:r>
            <w:r w:rsidRPr="00A5042B">
              <w:rPr>
                <w:rFonts w:ascii="Candara" w:hAnsi="Candara" w:cs="Times New Roman"/>
                <w:sz w:val="20"/>
                <w:szCs w:val="20"/>
              </w:rPr>
              <w:t xml:space="preserve">: </w:t>
            </w:r>
            <w:r w:rsidRPr="00A5042B">
              <w:rPr>
                <w:rFonts w:ascii="Candara" w:hAnsi="Candara" w:cs="Times New Roman"/>
                <w:i/>
                <w:iCs/>
                <w:sz w:val="20"/>
                <w:szCs w:val="20"/>
              </w:rPr>
              <w:t xml:space="preserve">Njemačko-hrvatski univerzalni rječnik/Deutsch-kroatisches Universalwörterbuch. </w:t>
            </w:r>
            <w:r w:rsidR="008D4C77" w:rsidRPr="00A5042B">
              <w:rPr>
                <w:rFonts w:ascii="Candara" w:hAnsi="Candara" w:cs="Times New Roman"/>
                <w:sz w:val="20"/>
                <w:szCs w:val="20"/>
              </w:rPr>
              <w:t>Zagreb</w:t>
            </w:r>
            <w:r w:rsidR="008D4C77">
              <w:rPr>
                <w:rFonts w:ascii="Candara" w:hAnsi="Candara" w:cs="Times New Roman"/>
                <w:sz w:val="20"/>
                <w:szCs w:val="20"/>
              </w:rPr>
              <w:t>:</w:t>
            </w:r>
            <w:r w:rsidR="008D4C77" w:rsidRPr="00A5042B">
              <w:rPr>
                <w:rFonts w:ascii="Candara" w:hAnsi="Candara" w:cs="Times New Roman"/>
                <w:sz w:val="20"/>
                <w:szCs w:val="20"/>
              </w:rPr>
              <w:t xml:space="preserve"> </w:t>
            </w:r>
            <w:r w:rsidRPr="00A5042B">
              <w:rPr>
                <w:rFonts w:ascii="Candara" w:hAnsi="Candara" w:cs="Times New Roman"/>
                <w:sz w:val="20"/>
                <w:szCs w:val="20"/>
              </w:rPr>
              <w:t xml:space="preserve">Nakladni zavod Globus: Institut za hrvatski jezik i jezikoslovlje. </w:t>
            </w:r>
          </w:p>
          <w:p w:rsidR="00412A7C" w:rsidRPr="00D05FD0" w:rsidRDefault="00412A7C" w:rsidP="008D4C77">
            <w:pPr>
              <w:pStyle w:val="ListParagraph"/>
              <w:numPr>
                <w:ilvl w:val="0"/>
                <w:numId w:val="1"/>
              </w:numPr>
              <w:tabs>
                <w:tab w:val="left" w:pos="360"/>
              </w:tabs>
              <w:spacing w:after="0" w:line="240" w:lineRule="auto"/>
              <w:ind w:left="612" w:hanging="252"/>
              <w:rPr>
                <w:rFonts w:ascii="Candara" w:hAnsi="Candara"/>
                <w:b/>
                <w:lang w:val="de-DE"/>
              </w:rPr>
            </w:pPr>
            <w:r w:rsidRPr="00A5042B">
              <w:rPr>
                <w:rFonts w:ascii="Candara" w:hAnsi="Candara"/>
                <w:lang w:val="de-DE"/>
              </w:rPr>
              <w:t>Kunkel-Razum, Kathrin u.a. (Hrsg.)</w:t>
            </w:r>
            <w:r w:rsidR="00D05FD0">
              <w:rPr>
                <w:rFonts w:ascii="Candara" w:hAnsi="Candara"/>
                <w:lang w:val="de-DE"/>
              </w:rPr>
              <w:t xml:space="preserve"> (2003)</w:t>
            </w:r>
            <w:r w:rsidRPr="00A5042B">
              <w:rPr>
                <w:rFonts w:ascii="Candara" w:hAnsi="Candara"/>
                <w:lang w:val="de-DE"/>
              </w:rPr>
              <w:t xml:space="preserve">: </w:t>
            </w:r>
            <w:r w:rsidR="005F1A16">
              <w:rPr>
                <w:rFonts w:ascii="Candara" w:hAnsi="Candara"/>
                <w:i/>
                <w:iCs/>
                <w:lang w:val="de-DE"/>
              </w:rPr>
              <w:t>Duden</w:t>
            </w:r>
            <w:r w:rsidRPr="00A5042B">
              <w:rPr>
                <w:rFonts w:ascii="Candara" w:hAnsi="Candara"/>
                <w:i/>
                <w:iCs/>
                <w:lang w:val="de-DE"/>
              </w:rPr>
              <w:t>: Deutsches Universalwörterbuch</w:t>
            </w:r>
            <w:r w:rsidRPr="00A5042B">
              <w:rPr>
                <w:rFonts w:ascii="Candara" w:hAnsi="Candara"/>
                <w:lang w:val="de-DE"/>
              </w:rPr>
              <w:t xml:space="preserve">. </w:t>
            </w:r>
            <w:r w:rsidR="008D4C77" w:rsidRPr="00D05FD0">
              <w:rPr>
                <w:rFonts w:ascii="Candara" w:hAnsi="Candara"/>
                <w:lang w:val="de-DE"/>
              </w:rPr>
              <w:t>Mannheim</w:t>
            </w:r>
            <w:r w:rsidR="008D4C77">
              <w:rPr>
                <w:rFonts w:ascii="Candara" w:hAnsi="Candara"/>
                <w:lang w:val="de-DE"/>
              </w:rPr>
              <w:t>:</w:t>
            </w:r>
            <w:r w:rsidR="008D4C77" w:rsidRPr="00D05FD0">
              <w:rPr>
                <w:rFonts w:ascii="Candara" w:hAnsi="Candara"/>
                <w:lang w:val="de-DE"/>
              </w:rPr>
              <w:t xml:space="preserve"> </w:t>
            </w:r>
            <w:r w:rsidR="008D4C77">
              <w:rPr>
                <w:rFonts w:ascii="Candara" w:hAnsi="Candara"/>
                <w:lang w:val="de-DE"/>
              </w:rPr>
              <w:t>Dudenverlag</w:t>
            </w:r>
            <w:r w:rsidRPr="00D05FD0">
              <w:rPr>
                <w:rFonts w:ascii="Candara" w:hAnsi="Candara"/>
                <w:lang w:val="de-DE"/>
              </w:rPr>
              <w:t>.</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jc w:val="left"/>
              <w:rPr>
                <w:rFonts w:ascii="Candara" w:hAnsi="Candara"/>
                <w:b/>
              </w:rPr>
            </w:pPr>
            <w:r w:rsidRPr="00D05FD0">
              <w:rPr>
                <w:rFonts w:ascii="Candara" w:hAnsi="Candara"/>
                <w:b/>
                <w:lang w:val="de-DE"/>
              </w:rPr>
              <w:t>ASSESSMENT METHODS AN</w:t>
            </w:r>
            <w:r w:rsidRPr="00A5042B">
              <w:rPr>
                <w:rFonts w:ascii="Candara" w:hAnsi="Candara"/>
                <w:b/>
              </w:rPr>
              <w:t>D CRITERIA</w:t>
            </w:r>
          </w:p>
        </w:tc>
      </w:tr>
      <w:tr w:rsidR="00412A7C" w:rsidRPr="00B54668" w:rsidTr="00A5042B">
        <w:trPr>
          <w:trHeight w:val="562"/>
        </w:trPr>
        <w:tc>
          <w:tcPr>
            <w:tcW w:w="10440" w:type="dxa"/>
            <w:gridSpan w:val="4"/>
            <w:shd w:val="clear" w:color="auto" w:fill="auto"/>
            <w:vAlign w:val="center"/>
          </w:tcPr>
          <w:tbl>
            <w:tblPr>
              <w:tblW w:w="10214" w:type="dxa"/>
              <w:tblBorders>
                <w:insideH w:val="single" w:sz="4" w:space="0" w:color="auto"/>
                <w:insideV w:val="single" w:sz="4" w:space="0" w:color="auto"/>
              </w:tblBorders>
              <w:tblLook w:val="04A0"/>
            </w:tblPr>
            <w:tblGrid>
              <w:gridCol w:w="2908"/>
              <w:gridCol w:w="1896"/>
              <w:gridCol w:w="1734"/>
              <w:gridCol w:w="1942"/>
              <w:gridCol w:w="1734"/>
            </w:tblGrid>
            <w:tr w:rsidR="00412A7C" w:rsidTr="00A5042B">
              <w:trPr>
                <w:trHeight w:val="432"/>
              </w:trPr>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Vorprüfungsverpflichtungen</w:t>
                  </w:r>
                </w:p>
              </w:tc>
              <w:tc>
                <w:tcPr>
                  <w:tcW w:w="1896"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Obligatorisch</w:t>
                  </w:r>
                </w:p>
              </w:tc>
              <w:tc>
                <w:tcPr>
                  <w:tcW w:w="1734"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Punkte</w:t>
                  </w:r>
                </w:p>
              </w:tc>
              <w:tc>
                <w:tcPr>
                  <w:tcW w:w="1942"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Abschließende Prüfung</w:t>
                  </w:r>
                </w:p>
              </w:tc>
              <w:tc>
                <w:tcPr>
                  <w:tcW w:w="1734"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Punkte</w:t>
                  </w:r>
                </w:p>
              </w:tc>
            </w:tr>
            <w:tr w:rsidR="00412A7C" w:rsidTr="00A5042B">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 xml:space="preserve">Konversation </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412A7C" w:rsidP="00A5042B">
                  <w:pPr>
                    <w:spacing w:after="0" w:line="240" w:lineRule="auto"/>
                    <w:jc w:val="right"/>
                    <w:rPr>
                      <w:rFonts w:ascii="Candara" w:hAnsi="Candara"/>
                      <w:szCs w:val="22"/>
                      <w:lang w:val="de-DE"/>
                    </w:rPr>
                  </w:pPr>
                  <w:r w:rsidRPr="00A5042B">
                    <w:rPr>
                      <w:rFonts w:ascii="Candara" w:hAnsi="Candara"/>
                      <w:szCs w:val="22"/>
                      <w:lang w:val="de-DE"/>
                    </w:rPr>
                    <w:t>10.00</w:t>
                  </w:r>
                </w:p>
              </w:tc>
              <w:tc>
                <w:tcPr>
                  <w:tcW w:w="1942" w:type="dxa"/>
                  <w:tcBorders>
                    <w:bottom w:val="single" w:sz="4" w:space="0" w:color="auto"/>
                  </w:tcBorders>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Mündliche Prüfung</w:t>
                  </w:r>
                </w:p>
              </w:tc>
              <w:tc>
                <w:tcPr>
                  <w:tcW w:w="1734" w:type="dxa"/>
                  <w:tcBorders>
                    <w:bottom w:val="single" w:sz="4" w:space="0" w:color="auto"/>
                  </w:tcBorders>
                  <w:shd w:val="clear" w:color="auto" w:fill="auto"/>
                </w:tcPr>
                <w:p w:rsidR="00412A7C" w:rsidRPr="00A5042B" w:rsidRDefault="00092BE7" w:rsidP="00A5042B">
                  <w:pPr>
                    <w:spacing w:after="0" w:line="240" w:lineRule="auto"/>
                    <w:jc w:val="right"/>
                    <w:rPr>
                      <w:rFonts w:ascii="Candara" w:hAnsi="Candara"/>
                      <w:szCs w:val="22"/>
                      <w:lang w:val="de-DE"/>
                    </w:rPr>
                  </w:pPr>
                  <w:r w:rsidRPr="00A5042B">
                    <w:rPr>
                      <w:rFonts w:ascii="Candara" w:hAnsi="Candara"/>
                      <w:szCs w:val="22"/>
                      <w:lang w:val="de-DE"/>
                    </w:rPr>
                    <w:t>50</w:t>
                  </w:r>
                  <w:r w:rsidR="00412A7C" w:rsidRPr="00A5042B">
                    <w:rPr>
                      <w:rFonts w:ascii="Candara" w:hAnsi="Candara"/>
                      <w:szCs w:val="22"/>
                      <w:lang w:val="de-DE"/>
                    </w:rPr>
                    <w:t>.00</w:t>
                  </w:r>
                </w:p>
              </w:tc>
            </w:tr>
            <w:tr w:rsidR="00412A7C" w:rsidTr="00A5042B">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Praktischer Unterricht</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412A7C" w:rsidP="00A5042B">
                  <w:pPr>
                    <w:spacing w:after="0" w:line="240" w:lineRule="auto"/>
                    <w:jc w:val="right"/>
                    <w:rPr>
                      <w:rFonts w:ascii="Candara" w:hAnsi="Candara"/>
                      <w:szCs w:val="22"/>
                      <w:lang w:val="de-DE"/>
                    </w:rPr>
                  </w:pPr>
                  <w:r w:rsidRPr="00A5042B">
                    <w:rPr>
                      <w:rFonts w:ascii="Candara" w:hAnsi="Candara"/>
                      <w:szCs w:val="22"/>
                      <w:lang w:val="de-DE"/>
                    </w:rPr>
                    <w:t>10.00</w:t>
                  </w:r>
                </w:p>
              </w:tc>
              <w:tc>
                <w:tcPr>
                  <w:tcW w:w="3676" w:type="dxa"/>
                  <w:gridSpan w:val="2"/>
                  <w:tcBorders>
                    <w:top w:val="single" w:sz="4" w:space="0" w:color="auto"/>
                    <w:bottom w:val="nil"/>
                  </w:tcBorders>
                  <w:shd w:val="clear" w:color="auto" w:fill="auto"/>
                </w:tcPr>
                <w:p w:rsidR="00412A7C" w:rsidRPr="00A5042B" w:rsidRDefault="00412A7C" w:rsidP="00A5042B">
                  <w:pPr>
                    <w:tabs>
                      <w:tab w:val="left" w:pos="360"/>
                    </w:tabs>
                    <w:spacing w:after="0" w:line="240" w:lineRule="auto"/>
                    <w:jc w:val="left"/>
                    <w:rPr>
                      <w:rFonts w:ascii="Candara" w:hAnsi="Candara"/>
                      <w:b/>
                    </w:rPr>
                  </w:pPr>
                </w:p>
              </w:tc>
            </w:tr>
            <w:tr w:rsidR="00412A7C" w:rsidTr="00A5042B">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Test</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412A7C" w:rsidP="00A5042B">
                  <w:pPr>
                    <w:spacing w:after="0" w:line="240" w:lineRule="auto"/>
                    <w:jc w:val="right"/>
                    <w:rPr>
                      <w:rFonts w:ascii="Candara" w:hAnsi="Candara"/>
                      <w:szCs w:val="22"/>
                      <w:lang w:val="de-DE"/>
                    </w:rPr>
                  </w:pPr>
                  <w:r w:rsidRPr="00A5042B">
                    <w:rPr>
                      <w:rFonts w:ascii="Candara" w:hAnsi="Candara"/>
                      <w:szCs w:val="22"/>
                      <w:lang w:val="de-DE"/>
                    </w:rPr>
                    <w:t>2</w:t>
                  </w:r>
                  <w:r w:rsidR="00E61BCC" w:rsidRPr="00A5042B">
                    <w:rPr>
                      <w:rFonts w:ascii="Candara" w:hAnsi="Candara"/>
                      <w:szCs w:val="22"/>
                      <w:lang w:val="de-DE"/>
                    </w:rPr>
                    <w:t>0</w:t>
                  </w:r>
                  <w:r w:rsidRPr="00A5042B">
                    <w:rPr>
                      <w:rFonts w:ascii="Candara" w:hAnsi="Candara"/>
                      <w:szCs w:val="22"/>
                      <w:lang w:val="de-DE"/>
                    </w:rPr>
                    <w:t>.00</w:t>
                  </w:r>
                </w:p>
              </w:tc>
              <w:tc>
                <w:tcPr>
                  <w:tcW w:w="3676" w:type="dxa"/>
                  <w:gridSpan w:val="2"/>
                  <w:tcBorders>
                    <w:top w:val="nil"/>
                    <w:bottom w:val="nil"/>
                  </w:tcBorders>
                  <w:shd w:val="clear" w:color="auto" w:fill="auto"/>
                </w:tcPr>
                <w:p w:rsidR="00412A7C" w:rsidRPr="00A5042B" w:rsidRDefault="00412A7C" w:rsidP="00A5042B">
                  <w:pPr>
                    <w:tabs>
                      <w:tab w:val="left" w:pos="360"/>
                    </w:tabs>
                    <w:spacing w:after="0" w:line="240" w:lineRule="auto"/>
                    <w:jc w:val="left"/>
                    <w:rPr>
                      <w:rFonts w:ascii="Candara" w:hAnsi="Candara"/>
                      <w:b/>
                    </w:rPr>
                  </w:pPr>
                </w:p>
              </w:tc>
            </w:tr>
            <w:tr w:rsidR="00E2445B" w:rsidTr="00A5042B">
              <w:tc>
                <w:tcPr>
                  <w:tcW w:w="2908" w:type="dxa"/>
                  <w:shd w:val="clear" w:color="auto" w:fill="auto"/>
                </w:tcPr>
                <w:p w:rsidR="00E2445B" w:rsidRPr="00A5042B" w:rsidRDefault="0026305B" w:rsidP="00A5042B">
                  <w:pPr>
                    <w:spacing w:after="0" w:line="240" w:lineRule="auto"/>
                    <w:rPr>
                      <w:rFonts w:ascii="Candara" w:hAnsi="Candara"/>
                      <w:szCs w:val="22"/>
                      <w:lang w:val="de-DE"/>
                    </w:rPr>
                  </w:pPr>
                  <w:r w:rsidRPr="00A5042B">
                    <w:rPr>
                      <w:rFonts w:ascii="Candara" w:hAnsi="Candara"/>
                      <w:szCs w:val="22"/>
                      <w:lang w:val="de-DE"/>
                    </w:rPr>
                    <w:t>Kolloquium</w:t>
                  </w:r>
                  <w:r w:rsidR="00E2445B" w:rsidRPr="00A5042B">
                    <w:rPr>
                      <w:rFonts w:ascii="Candara" w:hAnsi="Candara"/>
                      <w:szCs w:val="22"/>
                      <w:lang w:val="de-DE"/>
                    </w:rPr>
                    <w:t xml:space="preserve"> (Übersetzung)</w:t>
                  </w:r>
                </w:p>
              </w:tc>
              <w:tc>
                <w:tcPr>
                  <w:tcW w:w="1896" w:type="dxa"/>
                  <w:shd w:val="clear" w:color="auto" w:fill="auto"/>
                </w:tcPr>
                <w:p w:rsidR="00E2445B"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Ja</w:t>
                  </w:r>
                </w:p>
              </w:tc>
              <w:tc>
                <w:tcPr>
                  <w:tcW w:w="1734" w:type="dxa"/>
                  <w:shd w:val="clear" w:color="auto" w:fill="auto"/>
                </w:tcPr>
                <w:p w:rsidR="00E2445B" w:rsidRPr="00A5042B" w:rsidRDefault="00670BE5" w:rsidP="00A5042B">
                  <w:pPr>
                    <w:spacing w:after="0" w:line="240" w:lineRule="auto"/>
                    <w:jc w:val="right"/>
                    <w:rPr>
                      <w:rFonts w:ascii="Candara" w:hAnsi="Candara"/>
                      <w:szCs w:val="22"/>
                      <w:lang w:val="de-DE"/>
                    </w:rPr>
                  </w:pPr>
                  <w:r w:rsidRPr="00A5042B">
                    <w:rPr>
                      <w:rFonts w:ascii="Candara" w:hAnsi="Candara"/>
                      <w:szCs w:val="22"/>
                      <w:lang w:val="de-DE"/>
                    </w:rPr>
                    <w:t>10.00</w:t>
                  </w:r>
                </w:p>
              </w:tc>
              <w:tc>
                <w:tcPr>
                  <w:tcW w:w="3676" w:type="dxa"/>
                  <w:gridSpan w:val="2"/>
                  <w:tcBorders>
                    <w:top w:val="nil"/>
                    <w:bottom w:val="nil"/>
                  </w:tcBorders>
                  <w:shd w:val="clear" w:color="auto" w:fill="auto"/>
                </w:tcPr>
                <w:p w:rsidR="00E2445B" w:rsidRPr="00A5042B" w:rsidRDefault="00E2445B" w:rsidP="00A5042B">
                  <w:pPr>
                    <w:tabs>
                      <w:tab w:val="left" w:pos="360"/>
                    </w:tabs>
                    <w:spacing w:after="0" w:line="240" w:lineRule="auto"/>
                    <w:jc w:val="left"/>
                    <w:rPr>
                      <w:rFonts w:ascii="Candara" w:hAnsi="Candara"/>
                      <w:b/>
                    </w:rPr>
                  </w:pPr>
                </w:p>
              </w:tc>
            </w:tr>
          </w:tbl>
          <w:p w:rsidR="00412A7C" w:rsidRPr="00A5042B" w:rsidRDefault="00412A7C" w:rsidP="00A5042B">
            <w:pPr>
              <w:tabs>
                <w:tab w:val="left" w:pos="360"/>
              </w:tabs>
              <w:spacing w:after="0" w:line="240" w:lineRule="auto"/>
              <w:jc w:val="left"/>
              <w:rPr>
                <w:rFonts w:ascii="Candara" w:hAnsi="Candara"/>
                <w:b/>
              </w:rPr>
            </w:pP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b/>
              </w:rPr>
              <w:t>LANGUAGE OF INSTRUCTION</w:t>
            </w:r>
          </w:p>
        </w:tc>
      </w:tr>
      <w:tr w:rsidR="00412A7C" w:rsidRPr="00B54668" w:rsidTr="00A5042B">
        <w:trPr>
          <w:trHeight w:val="562"/>
        </w:trPr>
        <w:tc>
          <w:tcPr>
            <w:tcW w:w="10440" w:type="dxa"/>
            <w:gridSpan w:val="4"/>
            <w:shd w:val="clear" w:color="auto" w:fill="auto"/>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rPr>
              <w:t>Deutsch</w:t>
            </w:r>
          </w:p>
        </w:tc>
      </w:tr>
    </w:tbl>
    <w:p w:rsidR="00412A7C" w:rsidRDefault="00412A7C" w:rsidP="00412A7C">
      <w:pPr>
        <w:ind w:left="1089"/>
      </w:pPr>
    </w:p>
    <w:p w:rsidR="00FC0B32" w:rsidRDefault="00FC0B32"/>
    <w:sectPr w:rsidR="00FC0B32" w:rsidSect="007669BD">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53" w:rsidRDefault="00311F53" w:rsidP="00412A7C">
      <w:pPr>
        <w:spacing w:after="0" w:line="240" w:lineRule="auto"/>
      </w:pPr>
      <w:r>
        <w:separator/>
      </w:r>
    </w:p>
  </w:endnote>
  <w:endnote w:type="continuationSeparator" w:id="0">
    <w:p w:rsidR="00311F53" w:rsidRDefault="00311F53" w:rsidP="00412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53" w:rsidRDefault="00311F53" w:rsidP="00412A7C">
      <w:pPr>
        <w:spacing w:after="0" w:line="240" w:lineRule="auto"/>
      </w:pPr>
      <w:r>
        <w:separator/>
      </w:r>
    </w:p>
  </w:footnote>
  <w:footnote w:type="continuationSeparator" w:id="0">
    <w:p w:rsidR="00311F53" w:rsidRDefault="00311F53" w:rsidP="00412A7C">
      <w:pPr>
        <w:spacing w:after="0" w:line="240" w:lineRule="auto"/>
      </w:pPr>
      <w:r>
        <w:continuationSeparator/>
      </w:r>
    </w:p>
  </w:footnote>
  <w:footnote w:id="1">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Compulsory, optional</w:t>
      </w:r>
    </w:p>
  </w:footnote>
  <w:footnote w:id="2">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First, second or third cycle (Bachelor, Master's, Doctoral)</w:t>
      </w:r>
    </w:p>
  </w:footnote>
  <w:footnote w:id="3">
    <w:p w:rsidR="00412A7C" w:rsidRPr="00C60C45" w:rsidRDefault="00412A7C" w:rsidP="00412A7C">
      <w:pPr>
        <w:pStyle w:val="FootnoteText"/>
        <w:rPr>
          <w:sz w:val="16"/>
          <w:szCs w:val="16"/>
          <w:lang w:val="en-US"/>
        </w:rPr>
      </w:pPr>
      <w:r>
        <w:rPr>
          <w:rStyle w:val="FootnoteReference"/>
        </w:rPr>
        <w:footnoteRef/>
      </w:r>
      <w:r>
        <w:t xml:space="preserve"> </w:t>
      </w:r>
      <w:r w:rsidRPr="00A5042B">
        <w:rPr>
          <w:rFonts w:ascii="Calibri" w:hAnsi="Calibri"/>
          <w:sz w:val="18"/>
          <w:szCs w:val="18"/>
        </w:rPr>
        <w:t xml:space="preserve">ISCED-F 2013 - </w:t>
      </w:r>
      <w:hyperlink r:id="rId1" w:history="1">
        <w:r w:rsidRPr="00A5042B">
          <w:rPr>
            <w:rStyle w:val="Hyperlink"/>
            <w:rFonts w:ascii="Calibri" w:hAnsi="Calibri"/>
            <w:sz w:val="18"/>
            <w:szCs w:val="18"/>
          </w:rPr>
          <w:t>http://www.uis.unesco.org/Education/Documents/isced-f-detailed-field-descriptions-en.pdf</w:t>
        </w:r>
      </w:hyperlink>
      <w:r w:rsidRPr="00A5042B">
        <w:rPr>
          <w:rFonts w:ascii="Calibri" w:hAnsi="Calibri"/>
          <w:sz w:val="18"/>
          <w:szCs w:val="18"/>
        </w:rPr>
        <w:t xml:space="preserve"> (page 54)</w:t>
      </w:r>
    </w:p>
  </w:footnote>
  <w:footnote w:id="4">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327"/>
    <w:multiLevelType w:val="hybridMultilevel"/>
    <w:tmpl w:val="E4AA001A"/>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12A7C"/>
    <w:rsid w:val="00024D0D"/>
    <w:rsid w:val="00092BE7"/>
    <w:rsid w:val="00172AE6"/>
    <w:rsid w:val="001B32E5"/>
    <w:rsid w:val="001C216E"/>
    <w:rsid w:val="001D7A76"/>
    <w:rsid w:val="002450A3"/>
    <w:rsid w:val="002565C0"/>
    <w:rsid w:val="0026305B"/>
    <w:rsid w:val="002749C4"/>
    <w:rsid w:val="0027620D"/>
    <w:rsid w:val="0029467E"/>
    <w:rsid w:val="002F0067"/>
    <w:rsid w:val="00311F53"/>
    <w:rsid w:val="00321EB8"/>
    <w:rsid w:val="003C6192"/>
    <w:rsid w:val="003D70D2"/>
    <w:rsid w:val="003F3CF6"/>
    <w:rsid w:val="00412A7C"/>
    <w:rsid w:val="004A649D"/>
    <w:rsid w:val="004D717D"/>
    <w:rsid w:val="005F1A16"/>
    <w:rsid w:val="00670BE5"/>
    <w:rsid w:val="007669BD"/>
    <w:rsid w:val="007E37EB"/>
    <w:rsid w:val="008041D6"/>
    <w:rsid w:val="008C043D"/>
    <w:rsid w:val="008D4C77"/>
    <w:rsid w:val="008E47FD"/>
    <w:rsid w:val="00921537"/>
    <w:rsid w:val="00966B96"/>
    <w:rsid w:val="00993574"/>
    <w:rsid w:val="00994C93"/>
    <w:rsid w:val="009B4055"/>
    <w:rsid w:val="00A07070"/>
    <w:rsid w:val="00A5042B"/>
    <w:rsid w:val="00A80EDC"/>
    <w:rsid w:val="00AC321B"/>
    <w:rsid w:val="00B50BB7"/>
    <w:rsid w:val="00BE63FD"/>
    <w:rsid w:val="00C01676"/>
    <w:rsid w:val="00CA0E35"/>
    <w:rsid w:val="00D05FD0"/>
    <w:rsid w:val="00D15CDE"/>
    <w:rsid w:val="00DA4DBA"/>
    <w:rsid w:val="00DC3B23"/>
    <w:rsid w:val="00E047F8"/>
    <w:rsid w:val="00E2445B"/>
    <w:rsid w:val="00E61BCC"/>
    <w:rsid w:val="00E63B09"/>
    <w:rsid w:val="00E84A72"/>
    <w:rsid w:val="00ED4185"/>
    <w:rsid w:val="00F26130"/>
    <w:rsid w:val="00F7008F"/>
    <w:rsid w:val="00FA417C"/>
    <w:rsid w:val="00FC0B3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7C"/>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A7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12A7C"/>
    <w:pPr>
      <w:spacing w:after="0" w:line="240" w:lineRule="auto"/>
    </w:pPr>
    <w:rPr>
      <w:lang/>
    </w:rPr>
  </w:style>
  <w:style w:type="character" w:customStyle="1" w:styleId="FootnoteTextChar">
    <w:name w:val="Footnote Text Char"/>
    <w:link w:val="FootnoteText"/>
    <w:uiPriority w:val="99"/>
    <w:semiHidden/>
    <w:rsid w:val="00412A7C"/>
    <w:rPr>
      <w:rFonts w:ascii="Arial" w:eastAsia="Times New Roman" w:hAnsi="Arial" w:cs="Times New Roman"/>
      <w:sz w:val="20"/>
      <w:szCs w:val="20"/>
      <w:lang w:val="en-GB"/>
    </w:rPr>
  </w:style>
  <w:style w:type="character" w:styleId="FootnoteReference">
    <w:name w:val="footnote reference"/>
    <w:uiPriority w:val="99"/>
    <w:semiHidden/>
    <w:unhideWhenUsed/>
    <w:rsid w:val="00412A7C"/>
    <w:rPr>
      <w:vertAlign w:val="superscript"/>
    </w:rPr>
  </w:style>
  <w:style w:type="character" w:styleId="Hyperlink">
    <w:name w:val="Hyperlink"/>
    <w:uiPriority w:val="99"/>
    <w:unhideWhenUsed/>
    <w:rsid w:val="00412A7C"/>
    <w:rPr>
      <w:color w:val="0000FF"/>
      <w:u w:val="single"/>
    </w:rPr>
  </w:style>
  <w:style w:type="paragraph" w:styleId="ListParagraph">
    <w:name w:val="List Paragraph"/>
    <w:basedOn w:val="Normal"/>
    <w:uiPriority w:val="34"/>
    <w:qFormat/>
    <w:rsid w:val="00412A7C"/>
    <w:pPr>
      <w:ind w:left="720"/>
      <w:contextualSpacing/>
    </w:pPr>
  </w:style>
  <w:style w:type="paragraph" w:customStyle="1" w:styleId="Default">
    <w:name w:val="Default"/>
    <w:rsid w:val="00412A7C"/>
    <w:pPr>
      <w:autoSpaceDE w:val="0"/>
      <w:autoSpaceDN w:val="0"/>
      <w:adjustRightInd w:val="0"/>
    </w:pPr>
    <w:rPr>
      <w:rFonts w:cs="Calibri"/>
      <w:color w:val="000000"/>
      <w:sz w:val="24"/>
      <w:szCs w:val="24"/>
      <w:lang w:val="de-DE" w:eastAsia="en-US"/>
    </w:rPr>
  </w:style>
  <w:style w:type="paragraph" w:styleId="BalloonText">
    <w:name w:val="Balloon Text"/>
    <w:basedOn w:val="Normal"/>
    <w:link w:val="BalloonTextChar"/>
    <w:uiPriority w:val="99"/>
    <w:semiHidden/>
    <w:unhideWhenUsed/>
    <w:rsid w:val="00412A7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12A7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Links>
    <vt:vector size="6" baseType="variant">
      <vt:variant>
        <vt:i4>85</vt:i4>
      </vt:variant>
      <vt:variant>
        <vt:i4>0</vt:i4>
      </vt:variant>
      <vt:variant>
        <vt:i4>0</vt:i4>
      </vt:variant>
      <vt:variant>
        <vt:i4>5</vt:i4>
      </vt:variant>
      <vt:variant>
        <vt:lpwstr>http://www.uis.unesco.org/Education/Documents/isced-f-detailed-field-descriptions-en.pdf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Kati</cp:lastModifiedBy>
  <cp:revision>2</cp:revision>
  <dcterms:created xsi:type="dcterms:W3CDTF">2017-07-16T09:11:00Z</dcterms:created>
  <dcterms:modified xsi:type="dcterms:W3CDTF">2017-07-16T09:11:00Z</dcterms:modified>
</cp:coreProperties>
</file>